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1920240" cy="96012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logo-doubledecker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9601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  <w:jc w:val="center"/>
      </w:pPr>
      <w:r>
        <w:rPr>
          <w:color w:val="1F2937"/>
          <w:sz w:val="40"/>
        </w:rPr>
        <w:t>Regulamento Interno de Funcionamento</w:t>
      </w:r>
    </w:p>
    <w:p>
      <w:pPr>
        <w:spacing w:after="200"/>
        <w:jc w:val="center"/>
      </w:pPr>
      <w:r>
        <w:rPr>
          <w:color w:val="5B6680"/>
          <w:sz w:val="20"/>
        </w:rPr>
        <w:t>Double Decker - Academia de Educação e Línguas</w:t>
      </w:r>
    </w:p>
    <w:p>
      <w:pPr>
        <w:pStyle w:val="Heading1"/>
      </w:pPr>
      <w:r>
        <w:rPr>
          <w:color w:val="2478BD"/>
          <w:sz w:val="28"/>
        </w:rPr>
        <w:t>Artigo 1.º - Âmbito</w:t>
      </w:r>
    </w:p>
    <w:p>
      <w:pPr>
        <w:spacing w:line="324" w:lineRule="auto"/>
      </w:pPr>
      <w:r>
        <w:t>O presente regulamento define as normas de funcionamento das atividades organizadas pela Double Decker, incluindo CAF, Sala de Estudo, Atividades de Tempos Livres e formação.</w:t>
      </w:r>
    </w:p>
    <w:p>
      <w:pPr>
        <w:pStyle w:val="Heading1"/>
      </w:pPr>
      <w:r>
        <w:rPr>
          <w:color w:val="2478BD"/>
          <w:sz w:val="28"/>
        </w:rPr>
        <w:t>Artigo 2.º - Inscrições</w:t>
      </w:r>
    </w:p>
    <w:p>
      <w:pPr>
        <w:spacing w:line="324" w:lineRule="auto"/>
      </w:pPr>
      <w:r>
        <w:t>As inscrições são formalizadas através da plataforma online. A admissão definitiva fica dependente da validação dos dados, da existência de vaga e da confirmação administrativa pela entidade.</w:t>
      </w:r>
    </w:p>
    <w:p>
      <w:pPr>
        <w:pStyle w:val="Heading1"/>
      </w:pPr>
      <w:r>
        <w:rPr>
          <w:color w:val="2478BD"/>
          <w:sz w:val="28"/>
        </w:rPr>
        <w:t>Artigo 3.º - Horários e Frequência</w:t>
      </w:r>
    </w:p>
    <w:p>
      <w:pPr>
        <w:spacing w:line="324" w:lineRule="auto"/>
      </w:pPr>
      <w:r>
        <w:t>Os horários de funcionamento e de recolha devem ser respeitados. Qualquer atraso ou alteração relevante deve ser comunicado com a devida antecedência.</w:t>
      </w:r>
    </w:p>
    <w:p>
      <w:pPr>
        <w:pStyle w:val="Heading1"/>
      </w:pPr>
      <w:r>
        <w:rPr>
          <w:color w:val="2478BD"/>
          <w:sz w:val="28"/>
        </w:rPr>
        <w:t>Artigo 4.º - Pagamentos</w:t>
      </w:r>
    </w:p>
    <w:p>
      <w:pPr>
        <w:spacing w:line="324" w:lineRule="auto"/>
      </w:pPr>
      <w:r>
        <w:t>As mensalidades e valores aplicáveis devem ser liquidadas nos prazos indicados na ficha de faturação ou comunicação enviada pela entidade.</w:t>
      </w:r>
    </w:p>
    <w:p>
      <w:pPr>
        <w:pStyle w:val="Heading1"/>
      </w:pPr>
      <w:r>
        <w:rPr>
          <w:color w:val="2478BD"/>
          <w:sz w:val="28"/>
        </w:rPr>
        <w:t>Artigo 5.º - Deveres dos Utentes</w:t>
      </w:r>
    </w:p>
    <w:p>
      <w:pPr>
        <w:pStyle w:val="ListBullet"/>
      </w:pPr>
      <w:r>
        <w:t>Respeitar colaboradores, colegas e restantes utentes.</w:t>
      </w:r>
    </w:p>
    <w:p>
      <w:pPr>
        <w:pStyle w:val="ListBullet"/>
      </w:pPr>
      <w:r>
        <w:t>zelar pela conservação do material e das instalações.</w:t>
      </w:r>
    </w:p>
    <w:p>
      <w:pPr>
        <w:pStyle w:val="ListBullet"/>
      </w:pPr>
      <w:r>
        <w:t>cumprir as normas de segurança, higiene e funcionamento interno..</w:t>
      </w:r>
    </w:p>
    <w:sectPr w:rsidR="00FC693F" w:rsidRPr="0006063C" w:rsidSect="00034616">
      <w:pgSz w:w="12240" w:h="15840"/>
      <w:pgMar w:top="936" w:right="1080" w:bottom="936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